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2DD1B" w14:textId="5C42C888" w:rsidR="00765897" w:rsidRPr="00783F93" w:rsidRDefault="00765897" w:rsidP="00B26339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bookmarkStart w:id="0" w:name="page1"/>
      <w:r w:rsidRPr="00783F93">
        <w:rPr>
          <w:rFonts w:eastAsia="SimSun"/>
          <w:b/>
          <w:sz w:val="24"/>
          <w:szCs w:val="24"/>
        </w:rPr>
        <w:t>3GPP TSG-RAN WG4 Meeting #9</w:t>
      </w:r>
      <w:r w:rsidR="00743985" w:rsidRPr="00783F93">
        <w:rPr>
          <w:rFonts w:eastAsiaTheme="minorEastAsia"/>
          <w:b/>
          <w:sz w:val="24"/>
          <w:szCs w:val="24"/>
          <w:lang w:eastAsia="ja-JP"/>
        </w:rPr>
        <w:t>6</w:t>
      </w:r>
      <w:r w:rsidR="00DA5C76" w:rsidRPr="00783F93">
        <w:rPr>
          <w:rFonts w:eastAsia="SimSun"/>
          <w:b/>
          <w:sz w:val="24"/>
          <w:szCs w:val="24"/>
        </w:rPr>
        <w:t>-e</w:t>
      </w:r>
      <w:r w:rsidRPr="00783F93">
        <w:rPr>
          <w:rFonts w:eastAsia="SimSun"/>
          <w:sz w:val="24"/>
          <w:szCs w:val="24"/>
          <w:lang w:val="de-DE"/>
        </w:rPr>
        <w:tab/>
      </w:r>
      <w:bookmarkStart w:id="1" w:name="_GoBack"/>
      <w:bookmarkEnd w:id="1"/>
      <w:r w:rsidR="004D74B4" w:rsidRPr="004D74B4">
        <w:rPr>
          <w:rFonts w:eastAsia="SimSun"/>
          <w:b/>
          <w:sz w:val="24"/>
          <w:szCs w:val="24"/>
        </w:rPr>
        <w:t>R4-2011044</w:t>
      </w:r>
    </w:p>
    <w:p w14:paraId="2A705768" w14:textId="6209F402" w:rsidR="00334170" w:rsidRPr="00783F93" w:rsidRDefault="00DA5C76" w:rsidP="00334170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783F93">
        <w:rPr>
          <w:rFonts w:eastAsia="SimSun"/>
          <w:b/>
          <w:sz w:val="24"/>
          <w:szCs w:val="24"/>
          <w:lang w:eastAsia="zh-CN"/>
        </w:rPr>
        <w:t>E</w:t>
      </w:r>
      <w:r w:rsidR="00743985" w:rsidRPr="00783F93">
        <w:rPr>
          <w:rFonts w:eastAsia="SimSun"/>
          <w:b/>
          <w:sz w:val="24"/>
          <w:szCs w:val="24"/>
          <w:lang w:eastAsia="zh-CN"/>
        </w:rPr>
        <w:t>lectronic Meeting, 17-28</w:t>
      </w:r>
      <w:r w:rsidRPr="00783F93">
        <w:rPr>
          <w:rFonts w:eastAsia="SimSun"/>
          <w:b/>
          <w:sz w:val="24"/>
          <w:szCs w:val="24"/>
          <w:lang w:eastAsia="zh-CN"/>
        </w:rPr>
        <w:t xml:space="preserve"> </w:t>
      </w:r>
      <w:r w:rsidR="00743985" w:rsidRPr="00783F93">
        <w:rPr>
          <w:rFonts w:eastAsia="SimSun"/>
          <w:b/>
          <w:sz w:val="24"/>
          <w:szCs w:val="24"/>
          <w:lang w:eastAsia="zh-CN"/>
        </w:rPr>
        <w:t>Aug.,</w:t>
      </w:r>
      <w:r w:rsidRPr="00783F93">
        <w:rPr>
          <w:rFonts w:eastAsia="SimSun"/>
          <w:b/>
          <w:sz w:val="24"/>
          <w:szCs w:val="24"/>
          <w:lang w:eastAsia="zh-CN"/>
        </w:rPr>
        <w:t xml:space="preserve"> 2020</w:t>
      </w:r>
    </w:p>
    <w:p w14:paraId="0E5AB96A" w14:textId="77777777" w:rsidR="00B26339" w:rsidRPr="00783F93" w:rsidRDefault="00B26339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32D5FF9B" w14:textId="13741F0C" w:rsidR="00214859" w:rsidRPr="00783F93" w:rsidRDefault="00214859" w:rsidP="00DA5C76">
      <w:pPr>
        <w:jc w:val="both"/>
        <w:rPr>
          <w:sz w:val="24"/>
          <w:lang w:val="en-US" w:eastAsia="ja-JP"/>
        </w:rPr>
      </w:pPr>
      <w:r w:rsidRPr="00783F93">
        <w:rPr>
          <w:b/>
          <w:sz w:val="24"/>
          <w:lang w:val="en-US"/>
        </w:rPr>
        <w:t>Agenda item:</w:t>
      </w:r>
      <w:r w:rsidR="00DA5C76" w:rsidRPr="00783F93">
        <w:rPr>
          <w:sz w:val="24"/>
          <w:lang w:val="en-US"/>
        </w:rPr>
        <w:tab/>
      </w:r>
      <w:r w:rsidR="00DA5C76" w:rsidRPr="00783F93">
        <w:rPr>
          <w:sz w:val="24"/>
          <w:lang w:val="en-US"/>
        </w:rPr>
        <w:tab/>
      </w:r>
      <w:r w:rsidR="0044167A" w:rsidRPr="00783F93">
        <w:rPr>
          <w:sz w:val="24"/>
        </w:rPr>
        <w:t>7.1</w:t>
      </w:r>
      <w:r w:rsidR="00CB6B0A" w:rsidRPr="00783F93">
        <w:rPr>
          <w:sz w:val="24"/>
          <w:lang w:eastAsia="ja-JP"/>
        </w:rPr>
        <w:t>5</w:t>
      </w:r>
      <w:r w:rsidR="00CB6B0A" w:rsidRPr="00783F93">
        <w:rPr>
          <w:sz w:val="24"/>
        </w:rPr>
        <w:t>.3</w:t>
      </w:r>
      <w:r w:rsidR="0044167A" w:rsidRPr="00783F93">
        <w:rPr>
          <w:sz w:val="24"/>
        </w:rPr>
        <w:t>.1</w:t>
      </w:r>
    </w:p>
    <w:p w14:paraId="56BBBA72" w14:textId="5D9DE952" w:rsidR="0081689A" w:rsidRPr="00783F93" w:rsidRDefault="00DA5C76" w:rsidP="00DA5C76">
      <w:pPr>
        <w:ind w:left="1136" w:hanging="1136"/>
        <w:rPr>
          <w:sz w:val="24"/>
          <w:lang w:val="en-US"/>
        </w:rPr>
      </w:pPr>
      <w:r w:rsidRPr="00783F93">
        <w:rPr>
          <w:b/>
          <w:sz w:val="24"/>
          <w:lang w:val="en-US"/>
        </w:rPr>
        <w:t>Source:</w:t>
      </w:r>
      <w:r w:rsidRPr="00783F93">
        <w:rPr>
          <w:b/>
          <w:sz w:val="24"/>
          <w:lang w:val="en-US"/>
        </w:rPr>
        <w:tab/>
      </w:r>
      <w:r w:rsidRPr="00783F93">
        <w:rPr>
          <w:b/>
          <w:sz w:val="24"/>
          <w:lang w:val="en-US"/>
        </w:rPr>
        <w:tab/>
      </w:r>
      <w:r w:rsidRPr="00783F93">
        <w:rPr>
          <w:b/>
          <w:sz w:val="24"/>
          <w:lang w:val="en-US"/>
        </w:rPr>
        <w:tab/>
      </w:r>
      <w:r w:rsidRPr="00783F93">
        <w:rPr>
          <w:b/>
          <w:sz w:val="24"/>
          <w:lang w:val="en-US"/>
        </w:rPr>
        <w:tab/>
      </w:r>
      <w:r w:rsidR="0081689A" w:rsidRPr="00783F93">
        <w:rPr>
          <w:sz w:val="24"/>
          <w:lang w:val="en-US" w:eastAsia="ja-JP"/>
        </w:rPr>
        <w:t>NTT DOCOMO, INC.</w:t>
      </w:r>
    </w:p>
    <w:p w14:paraId="7AEC78C8" w14:textId="12B27EF7" w:rsidR="00FA6851" w:rsidRPr="00783F93" w:rsidRDefault="0081689A" w:rsidP="00DA5C76">
      <w:pPr>
        <w:tabs>
          <w:tab w:val="left" w:pos="1620"/>
        </w:tabs>
        <w:ind w:left="1980" w:hanging="1980"/>
        <w:jc w:val="both"/>
        <w:rPr>
          <w:sz w:val="24"/>
          <w:lang w:val="en-US" w:eastAsia="ja-JP"/>
        </w:rPr>
      </w:pPr>
      <w:r w:rsidRPr="00783F93">
        <w:rPr>
          <w:b/>
          <w:sz w:val="24"/>
          <w:lang w:val="en-US"/>
        </w:rPr>
        <w:t>Title:</w:t>
      </w:r>
      <w:r w:rsidR="00DA5C76" w:rsidRPr="00783F93">
        <w:rPr>
          <w:sz w:val="24"/>
          <w:lang w:val="en-US"/>
        </w:rPr>
        <w:tab/>
      </w:r>
      <w:r w:rsidR="00DA5C76" w:rsidRPr="00783F93">
        <w:rPr>
          <w:sz w:val="24"/>
          <w:lang w:val="en-US"/>
        </w:rPr>
        <w:tab/>
      </w:r>
      <w:r w:rsidR="0044167A" w:rsidRPr="00783F93">
        <w:rPr>
          <w:sz w:val="24"/>
        </w:rPr>
        <w:t xml:space="preserve">Views on </w:t>
      </w:r>
      <w:r w:rsidR="00CB6B0A" w:rsidRPr="00783F93">
        <w:rPr>
          <w:sz w:val="24"/>
        </w:rPr>
        <w:t>HST applicability rule</w:t>
      </w:r>
      <w:r w:rsidR="00CE03D4">
        <w:rPr>
          <w:sz w:val="24"/>
        </w:rPr>
        <w:t>s</w:t>
      </w:r>
      <w:r w:rsidR="00D241B8" w:rsidRPr="00783F93">
        <w:rPr>
          <w:sz w:val="24"/>
          <w:lang w:val="en-US" w:eastAsia="ja-JP"/>
        </w:rPr>
        <w:t xml:space="preserve"> </w:t>
      </w:r>
    </w:p>
    <w:p w14:paraId="5CE29AE6" w14:textId="4B595100" w:rsidR="0081689A" w:rsidRPr="00783F93" w:rsidRDefault="0081689A" w:rsidP="00DA5C76">
      <w:pPr>
        <w:ind w:left="1980" w:hanging="1980"/>
        <w:jc w:val="both"/>
        <w:rPr>
          <w:lang w:eastAsia="ja-JP"/>
        </w:rPr>
      </w:pPr>
      <w:r w:rsidRPr="00783F93">
        <w:rPr>
          <w:b/>
          <w:sz w:val="24"/>
          <w:lang w:val="en-US"/>
        </w:rPr>
        <w:t>Document for:</w:t>
      </w:r>
      <w:r w:rsidR="00DA5C76" w:rsidRPr="00783F93">
        <w:rPr>
          <w:sz w:val="24"/>
          <w:lang w:val="en-US"/>
        </w:rPr>
        <w:tab/>
      </w:r>
      <w:r w:rsidR="00743985" w:rsidRPr="00783F93">
        <w:rPr>
          <w:sz w:val="24"/>
          <w:lang w:val="en-US" w:eastAsia="ja-JP"/>
        </w:rPr>
        <w:t>Discussion</w:t>
      </w:r>
    </w:p>
    <w:p w14:paraId="7C5D4856" w14:textId="77777777" w:rsidR="00906173" w:rsidRPr="00783F93" w:rsidRDefault="009C628D" w:rsidP="0094000B">
      <w:pPr>
        <w:pStyle w:val="1"/>
        <w:rPr>
          <w:rFonts w:ascii="Times New Roman" w:hAnsi="Times New Roman"/>
        </w:rPr>
      </w:pPr>
      <w:r w:rsidRPr="00783F93">
        <w:rPr>
          <w:rFonts w:ascii="Times New Roman" w:hAnsi="Times New Roman"/>
          <w:lang w:eastAsia="ja-JP"/>
        </w:rPr>
        <w:t xml:space="preserve">1. </w:t>
      </w:r>
      <w:r w:rsidR="00906173" w:rsidRPr="00783F93">
        <w:rPr>
          <w:rFonts w:ascii="Times New Roman" w:hAnsi="Times New Roman"/>
        </w:rPr>
        <w:t>Introduction</w:t>
      </w:r>
    </w:p>
    <w:p w14:paraId="49CAFDA4" w14:textId="3C6E7690" w:rsidR="00756E6E" w:rsidRPr="00783F93" w:rsidRDefault="00CB6B0A" w:rsidP="004B286C">
      <w:pPr>
        <w:jc w:val="both"/>
        <w:rPr>
          <w:lang w:val="en-US" w:eastAsia="ja-JP"/>
        </w:rPr>
      </w:pPr>
      <w:r w:rsidRPr="00783F93">
        <w:rPr>
          <w:lang w:eastAsia="ja-JP"/>
        </w:rPr>
        <w:t>At the last RAN4 meeting, we discussed HST applicability rules and RAN4 agreed a WF [1]. This contribution presents our views on HST applicability rules.</w:t>
      </w:r>
    </w:p>
    <w:p w14:paraId="16B77938" w14:textId="67E2DFA7" w:rsidR="00AA622B" w:rsidRPr="00783F93" w:rsidRDefault="00556E1D" w:rsidP="0044167A">
      <w:pPr>
        <w:pStyle w:val="1"/>
        <w:rPr>
          <w:rFonts w:ascii="Times New Roman" w:hAnsi="Times New Roman"/>
        </w:rPr>
      </w:pPr>
      <w:r w:rsidRPr="00783F93">
        <w:rPr>
          <w:rFonts w:ascii="Times New Roman" w:hAnsi="Times New Roman"/>
          <w:lang w:eastAsia="ja-JP"/>
        </w:rPr>
        <w:t xml:space="preserve">2. </w:t>
      </w:r>
      <w:r w:rsidR="00781288" w:rsidRPr="00783F93">
        <w:rPr>
          <w:rFonts w:ascii="Times New Roman" w:hAnsi="Times New Roman"/>
          <w:lang w:eastAsia="ja-JP"/>
        </w:rPr>
        <w:t>Discussion</w:t>
      </w:r>
    </w:p>
    <w:p w14:paraId="14B080CD" w14:textId="2111187E" w:rsidR="00783F93" w:rsidRPr="00783F93" w:rsidRDefault="00783F93" w:rsidP="00783F93">
      <w:pPr>
        <w:pStyle w:val="2"/>
        <w:ind w:left="720" w:hanging="720"/>
        <w:jc w:val="both"/>
        <w:rPr>
          <w:rFonts w:ascii="Times New Roman" w:hAnsi="Times New Roman"/>
          <w:lang w:val="en-US" w:eastAsia="ja-JP"/>
        </w:rPr>
      </w:pPr>
      <w:r w:rsidRPr="00783F93">
        <w:rPr>
          <w:rFonts w:ascii="Times New Roman" w:eastAsia="Times New Roman" w:hAnsi="Times New Roman"/>
        </w:rPr>
        <w:t>2.1.</w:t>
      </w:r>
      <w:r w:rsidRPr="00783F93">
        <w:rPr>
          <w:rFonts w:ascii="Times New Roman" w:eastAsia="Times New Roman" w:hAnsi="Times New Roman"/>
          <w:b/>
          <w:bCs/>
          <w:sz w:val="14"/>
          <w:szCs w:val="14"/>
        </w:rPr>
        <w:t xml:space="preserve"> </w:t>
      </w:r>
      <w:r w:rsidRPr="00783F93">
        <w:rPr>
          <w:rFonts w:ascii="Times New Roman" w:eastAsiaTheme="minorEastAsia" w:hAnsi="Times New Roman"/>
          <w:sz w:val="32"/>
        </w:rPr>
        <w:t>Test applicability between HST-SFN, HST single tap and HST multi-path fading performance test cases</w:t>
      </w:r>
    </w:p>
    <w:p w14:paraId="5249E67A" w14:textId="27E56DEB" w:rsidR="00783F93" w:rsidRPr="00783F93" w:rsidRDefault="00783F93" w:rsidP="00783F93">
      <w:pPr>
        <w:jc w:val="both"/>
      </w:pPr>
      <w:r w:rsidRPr="00783F93">
        <w:t>The motivation of each HST scenario, i.e. HST-SFN, Single-tap and multi-path fading is also different. For example, the motivation of HST-SFN is to guarantee the tolerance against quick frequency change from negative to positive</w:t>
      </w:r>
      <w:r w:rsidR="003427A4">
        <w:t>,</w:t>
      </w:r>
      <w:r w:rsidRPr="00783F93">
        <w:t xml:space="preserve"> while the motivation of</w:t>
      </w:r>
      <w:r w:rsidR="003427A4">
        <w:t xml:space="preserve"> HST</w:t>
      </w:r>
      <w:r w:rsidRPr="00783F93">
        <w:t xml:space="preserve"> single-tap is to guarantee the tolerance against continuous frequency change. On the other hand, HST multi-path requirement is mainly motivated to guarantee the tolerance against the frequency change under multi-path fading channel. Therefore, we consider that the certain HST-SFN scenario cannot guarantee the UE requirements for the other two HST scenarios and all the three HST scenarios should be tested independently. </w:t>
      </w:r>
    </w:p>
    <w:p w14:paraId="781BC463" w14:textId="27B6A98A" w:rsidR="00783F93" w:rsidRPr="00783F93" w:rsidRDefault="00783F93" w:rsidP="00783F93">
      <w:pPr>
        <w:jc w:val="both"/>
      </w:pPr>
      <w:r w:rsidRPr="00783F93">
        <w:rPr>
          <w:b/>
          <w:bCs/>
        </w:rPr>
        <w:t xml:space="preserve">Observation 1: The motivation of each HST scenarios, i.e. HST-SFN, </w:t>
      </w:r>
      <w:r w:rsidR="003427A4">
        <w:rPr>
          <w:b/>
          <w:bCs/>
        </w:rPr>
        <w:t>s</w:t>
      </w:r>
      <w:r w:rsidRPr="00783F93">
        <w:rPr>
          <w:b/>
          <w:bCs/>
        </w:rPr>
        <w:t>ingle-tap and multi-path fading is different.</w:t>
      </w:r>
    </w:p>
    <w:p w14:paraId="5C4A03A6" w14:textId="0BBA5643" w:rsidR="00783F93" w:rsidRPr="00783F93" w:rsidRDefault="00783F93" w:rsidP="00783F93">
      <w:pPr>
        <w:jc w:val="both"/>
      </w:pPr>
      <w:r w:rsidRPr="00783F93">
        <w:t>In Rel-16 LTE HST demodulation requirements, RAN4 defined the test applicability rule between Rel-16 LTE HST single tap and LTE HST-SFN. However, RAN4 didn’t define the test applicability rule between Rel-16 LTE HST-SFN and LTE HST single-tap@300km/h, Rel</w:t>
      </w:r>
      <w:r w:rsidR="003427A4">
        <w:t>-</w:t>
      </w:r>
      <w:r w:rsidRPr="00783F93">
        <w:t>16 LTE HST-SFN and LTE multi-path fading requirements. Considering this situation, we do not prefer to introduce the following applicability rule in NR.</w:t>
      </w:r>
    </w:p>
    <w:p w14:paraId="1E7AD08C" w14:textId="1EFCB30C" w:rsidR="00783F93" w:rsidRPr="00783F93" w:rsidRDefault="00783F93" w:rsidP="00783F93">
      <w:pPr>
        <w:jc w:val="both"/>
      </w:pPr>
      <w:r w:rsidRPr="00783F93">
        <w:rPr>
          <w:b/>
          <w:bCs/>
        </w:rPr>
        <w:t>Proposal 1: Do not define any applicability rule between Rel-16 NR HST-SFN and Rel.15 NR HST single-tap</w:t>
      </w:r>
      <w:r w:rsidR="003427A4">
        <w:rPr>
          <w:b/>
          <w:bCs/>
        </w:rPr>
        <w:t>.</w:t>
      </w:r>
    </w:p>
    <w:p w14:paraId="689F4B25" w14:textId="5F6D8423" w:rsidR="00783F93" w:rsidRPr="00783F93" w:rsidRDefault="00783F93" w:rsidP="00783F93">
      <w:pPr>
        <w:jc w:val="both"/>
      </w:pPr>
      <w:r w:rsidRPr="00783F93">
        <w:rPr>
          <w:b/>
          <w:bCs/>
        </w:rPr>
        <w:t>Proposal 2: Do not define any applicability rule between Rel-16 NR HST-SFN and Rel-15/16 NR multi-path fading</w:t>
      </w:r>
      <w:r w:rsidR="003427A4">
        <w:rPr>
          <w:b/>
          <w:bCs/>
        </w:rPr>
        <w:t>.</w:t>
      </w:r>
    </w:p>
    <w:p w14:paraId="4212C4CD" w14:textId="068BECD5" w:rsidR="00783F93" w:rsidRPr="00783F93" w:rsidRDefault="00783F93" w:rsidP="00783F93">
      <w:pPr>
        <w:jc w:val="both"/>
      </w:pPr>
      <w:r w:rsidRPr="00783F93">
        <w:rPr>
          <w:b/>
          <w:bCs/>
        </w:rPr>
        <w:t xml:space="preserve">Proposal 3: </w:t>
      </w:r>
      <w:r w:rsidR="003427A4">
        <w:rPr>
          <w:b/>
          <w:bCs/>
        </w:rPr>
        <w:t>RAN4 should discuss</w:t>
      </w:r>
      <w:r w:rsidRPr="00783F93">
        <w:rPr>
          <w:b/>
          <w:bCs/>
        </w:rPr>
        <w:t xml:space="preserve"> whether to introduce the applicability rule between Rel-16 NR HST-SFN and Rel.16 NR Single-tap</w:t>
      </w:r>
      <w:r w:rsidR="003427A4">
        <w:rPr>
          <w:b/>
          <w:bCs/>
        </w:rPr>
        <w:t>.</w:t>
      </w:r>
    </w:p>
    <w:p w14:paraId="6514B7B3" w14:textId="41096C77" w:rsidR="00783F93" w:rsidRPr="00783F93" w:rsidRDefault="00783F93" w:rsidP="00783F93">
      <w:pPr>
        <w:pStyle w:val="2"/>
        <w:ind w:left="720" w:hanging="720"/>
        <w:jc w:val="both"/>
        <w:rPr>
          <w:rFonts w:ascii="Times New Roman" w:hAnsi="Times New Roman"/>
        </w:rPr>
      </w:pPr>
      <w:r w:rsidRPr="00783F93">
        <w:rPr>
          <w:rFonts w:ascii="Times New Roman" w:eastAsia="Times New Roman" w:hAnsi="Times New Roman"/>
        </w:rPr>
        <w:t>2.2.</w:t>
      </w:r>
      <w:r w:rsidRPr="00783F93">
        <w:rPr>
          <w:rFonts w:ascii="Times New Roman" w:eastAsia="Times New Roman" w:hAnsi="Times New Roman"/>
          <w:b/>
          <w:bCs/>
          <w:sz w:val="14"/>
          <w:szCs w:val="14"/>
        </w:rPr>
        <w:t xml:space="preserve"> </w:t>
      </w:r>
      <w:r w:rsidRPr="00783F93">
        <w:rPr>
          <w:rFonts w:ascii="Times New Roman" w:hAnsi="Times New Roman"/>
          <w:sz w:val="32"/>
        </w:rPr>
        <w:t>Test applicability between different Doppler frequencies for the multi-path fading</w:t>
      </w:r>
    </w:p>
    <w:p w14:paraId="66D835F3" w14:textId="121C402A" w:rsidR="00783F93" w:rsidRPr="00783F93" w:rsidRDefault="003427A4" w:rsidP="00783F93">
      <w:pPr>
        <w:jc w:val="both"/>
      </w:pPr>
      <w:r>
        <w:t>W</w:t>
      </w:r>
      <w:r w:rsidR="00783F93" w:rsidRPr="00783F93">
        <w:t>e are fine to reduce unnecessary test cases if the</w:t>
      </w:r>
      <w:r>
        <w:t xml:space="preserve"> performance</w:t>
      </w:r>
      <w:r w:rsidR="00783F93" w:rsidRPr="00783F93">
        <w:t xml:space="preserve"> impact </w:t>
      </w:r>
      <w:r>
        <w:t>by</w:t>
      </w:r>
      <w:r w:rsidR="00783F93" w:rsidRPr="00783F93">
        <w:t xml:space="preserve"> skipping the test case is not significant. The main difference between Rel</w:t>
      </w:r>
      <w:r>
        <w:t>-</w:t>
      </w:r>
      <w:r w:rsidR="00783F93" w:rsidRPr="00783F93">
        <w:t>15 multi-path fading requirements (TDL-B</w:t>
      </w:r>
      <w:r>
        <w:t xml:space="preserve"> </w:t>
      </w:r>
      <w:r w:rsidR="00783F93" w:rsidRPr="00783F93">
        <w:t>100-400) and Rel</w:t>
      </w:r>
      <w:r>
        <w:t>-</w:t>
      </w:r>
      <w:r w:rsidR="00783F93" w:rsidRPr="00783F93">
        <w:t>16 multi-path fading requirements (TDL-C 300-600/1200) are TRS periodicity and TDD configuration. Regarding the TRS periodicity, Rel</w:t>
      </w:r>
      <w:r>
        <w:rPr>
          <w:rFonts w:hint="eastAsia"/>
          <w:lang w:eastAsia="ja-JP"/>
        </w:rPr>
        <w:t>-</w:t>
      </w:r>
      <w:r w:rsidR="00783F93" w:rsidRPr="00783F93">
        <w:t xml:space="preserve">16 multi-path fading requirements </w:t>
      </w:r>
      <w:r>
        <w:t>assumes</w:t>
      </w:r>
      <w:r w:rsidR="00783F93" w:rsidRPr="00783F93">
        <w:t xml:space="preserve"> 10ms TRS periodicity to support the higher Doppler frequency</w:t>
      </w:r>
      <w:r>
        <w:t>,</w:t>
      </w:r>
      <w:r w:rsidR="00783F93" w:rsidRPr="00783F93">
        <w:t xml:space="preserve"> while Rel</w:t>
      </w:r>
      <w:r>
        <w:t>-</w:t>
      </w:r>
      <w:r w:rsidR="00783F93" w:rsidRPr="00783F93">
        <w:t xml:space="preserve">15 requirements </w:t>
      </w:r>
      <w:r>
        <w:t>assumes</w:t>
      </w:r>
      <w:r w:rsidR="00783F93" w:rsidRPr="00783F93">
        <w:t xml:space="preserve"> 20ms TRS periodicity. We consider that TRS configuration is one of the key parameters for HST demodulation requirements. Thus, Rel-15 multi-path fading requirements with longer TRS periodicity should be tested and guaranteed </w:t>
      </w:r>
      <w:r>
        <w:t xml:space="preserve">in </w:t>
      </w:r>
      <w:r w:rsidR="00783F93" w:rsidRPr="00783F93">
        <w:t>Rel</w:t>
      </w:r>
      <w:r>
        <w:t>-</w:t>
      </w:r>
      <w:r w:rsidR="00783F93" w:rsidRPr="00783F93">
        <w:t>16 requirements. Regarding the TDD configuration, TDD pattern of Rel</w:t>
      </w:r>
      <w:r>
        <w:t>-</w:t>
      </w:r>
      <w:r w:rsidR="00783F93" w:rsidRPr="00783F93">
        <w:t>15 multi-path fading test are dynamic TDD configuration (FR1.30-1A), DSUU (FR1.30-5) and DSSU (FR1.30-6) [2]. These TDD configuration</w:t>
      </w:r>
      <w:r>
        <w:t>s</w:t>
      </w:r>
      <w:r w:rsidR="00783F93" w:rsidRPr="00783F93">
        <w:t xml:space="preserve"> are different from the Rel</w:t>
      </w:r>
      <w:r>
        <w:t>-</w:t>
      </w:r>
      <w:r w:rsidR="00783F93" w:rsidRPr="00783F93">
        <w:t>16 multi-path fading test which is 7D1S2U. If the Rel</w:t>
      </w:r>
      <w:r>
        <w:t>-</w:t>
      </w:r>
      <w:r w:rsidR="00783F93" w:rsidRPr="00783F93">
        <w:t xml:space="preserve">15 multi-path fading test are skipped, RAN4 cannot ensure whether UEs support aforementioned TDD patterns correctly. We </w:t>
      </w:r>
      <w:r>
        <w:t xml:space="preserve">have </w:t>
      </w:r>
      <w:r w:rsidR="00783F93" w:rsidRPr="00783F93">
        <w:t xml:space="preserve">to avoid such situation. </w:t>
      </w:r>
      <w:r>
        <w:t>To</w:t>
      </w:r>
      <w:r w:rsidR="00783F93" w:rsidRPr="00783F93">
        <w:t xml:space="preserve"> progress</w:t>
      </w:r>
      <w:r>
        <w:t xml:space="preserve"> the discussion</w:t>
      </w:r>
      <w:r w:rsidR="00783F93" w:rsidRPr="00783F93">
        <w:t>, we propose that FDD tests with TDLB100-400 can be skipped as long as TDD tests with TDL</w:t>
      </w:r>
      <w:r>
        <w:t>-</w:t>
      </w:r>
      <w:r w:rsidR="00783F93" w:rsidRPr="00783F93">
        <w:t>B</w:t>
      </w:r>
      <w:r>
        <w:t xml:space="preserve"> </w:t>
      </w:r>
      <w:r w:rsidR="00783F93" w:rsidRPr="00783F93">
        <w:t xml:space="preserve">100-400 will be conducted. </w:t>
      </w:r>
    </w:p>
    <w:p w14:paraId="0F9AA903" w14:textId="392D4E20" w:rsidR="00783F93" w:rsidRPr="00783F93" w:rsidRDefault="00783F93" w:rsidP="00783F93">
      <w:pPr>
        <w:jc w:val="both"/>
      </w:pPr>
      <w:r w:rsidRPr="00783F93">
        <w:rPr>
          <w:b/>
          <w:bCs/>
        </w:rPr>
        <w:lastRenderedPageBreak/>
        <w:t>Proposal 4: Assume following Option 1a for FDD as long as following Option 2 is supported for TDD</w:t>
      </w:r>
      <w:r w:rsidR="003427A4">
        <w:rPr>
          <w:b/>
          <w:bCs/>
        </w:rPr>
        <w:t>.</w:t>
      </w:r>
    </w:p>
    <w:p w14:paraId="2845294A" w14:textId="77777777" w:rsidR="00783F93" w:rsidRDefault="00783F93" w:rsidP="00783F93">
      <w:pPr>
        <w:jc w:val="both"/>
      </w:pPr>
      <w:r w:rsidRPr="00783F93">
        <w:rPr>
          <w:b/>
          <w:bCs/>
        </w:rPr>
        <w:t>For FDD:</w:t>
      </w:r>
    </w:p>
    <w:p w14:paraId="6790590E" w14:textId="413213C5" w:rsidR="00783F93" w:rsidRPr="00783F93" w:rsidRDefault="00783F93" w:rsidP="00783F93">
      <w:pPr>
        <w:pStyle w:val="afb"/>
        <w:numPr>
          <w:ilvl w:val="0"/>
          <w:numId w:val="27"/>
        </w:numPr>
        <w:jc w:val="both"/>
      </w:pPr>
      <w:r w:rsidRPr="00783F93">
        <w:rPr>
          <w:b/>
          <w:bCs/>
        </w:rPr>
        <w:t>Option 1a: Rel-15 multi-path fading with TDLB100-400 (Table 5.2.2.1.1-3 Test 1-1 and Table 5.2.3.1.1-3 Test 1-1) is not applicable for UE that passes Rel-16 multi-path fading tests TDLC300-600 for FDD</w:t>
      </w:r>
      <w:r w:rsidR="003427A4">
        <w:rPr>
          <w:b/>
          <w:bCs/>
        </w:rPr>
        <w:t>.</w:t>
      </w:r>
    </w:p>
    <w:p w14:paraId="6D9B43F7" w14:textId="77777777" w:rsidR="00783F93" w:rsidRDefault="00783F93" w:rsidP="00783F93">
      <w:pPr>
        <w:jc w:val="both"/>
      </w:pPr>
      <w:r w:rsidRPr="00783F93">
        <w:rPr>
          <w:b/>
          <w:bCs/>
        </w:rPr>
        <w:t>For TDD:</w:t>
      </w:r>
    </w:p>
    <w:p w14:paraId="17F94920" w14:textId="67D5DD4E" w:rsidR="00810BC6" w:rsidRPr="00F23475" w:rsidRDefault="00783F93" w:rsidP="00F23475">
      <w:pPr>
        <w:pStyle w:val="afb"/>
        <w:numPr>
          <w:ilvl w:val="0"/>
          <w:numId w:val="27"/>
        </w:numPr>
        <w:jc w:val="both"/>
      </w:pPr>
      <w:r w:rsidRPr="00783F93">
        <w:rPr>
          <w:b/>
          <w:bCs/>
        </w:rPr>
        <w:t>Option 2: Not define any applicability rule for TDD multi-path fading tests between Rel-15 and Rel-16.</w:t>
      </w:r>
      <w:r w:rsidR="00AA622B" w:rsidRPr="00783F93">
        <w:rPr>
          <w:lang w:eastAsia="ja-JP"/>
        </w:rPr>
        <w:t xml:space="preserve"> </w:t>
      </w:r>
    </w:p>
    <w:p w14:paraId="19A57041" w14:textId="77777777" w:rsidR="006C674B" w:rsidRPr="00783F93" w:rsidRDefault="00781288" w:rsidP="006C674B">
      <w:pPr>
        <w:pStyle w:val="1"/>
        <w:rPr>
          <w:rFonts w:ascii="Times New Roman" w:hAnsi="Times New Roman"/>
          <w:lang w:eastAsia="ja-JP"/>
        </w:rPr>
      </w:pPr>
      <w:r w:rsidRPr="00783F93">
        <w:rPr>
          <w:rFonts w:ascii="Times New Roman" w:hAnsi="Times New Roman"/>
          <w:lang w:eastAsia="ja-JP"/>
        </w:rPr>
        <w:t>3</w:t>
      </w:r>
      <w:r w:rsidR="009C628D" w:rsidRPr="00783F93">
        <w:rPr>
          <w:rFonts w:ascii="Times New Roman" w:hAnsi="Times New Roman"/>
          <w:lang w:eastAsia="ja-JP"/>
        </w:rPr>
        <w:t xml:space="preserve">. </w:t>
      </w:r>
      <w:r w:rsidR="00770473" w:rsidRPr="00783F93">
        <w:rPr>
          <w:rFonts w:ascii="Times New Roman" w:hAnsi="Times New Roman"/>
          <w:lang w:eastAsia="ja-JP"/>
        </w:rPr>
        <w:t>Conclusion</w:t>
      </w:r>
    </w:p>
    <w:p w14:paraId="4CC966CC" w14:textId="64BD8AC4" w:rsidR="003C1097" w:rsidRDefault="003C1097" w:rsidP="003C1097">
      <w:pPr>
        <w:jc w:val="both"/>
        <w:rPr>
          <w:lang w:eastAsia="ja-JP"/>
        </w:rPr>
      </w:pPr>
      <w:r w:rsidRPr="00783F93">
        <w:rPr>
          <w:lang w:eastAsia="ja-JP"/>
        </w:rPr>
        <w:t xml:space="preserve">In this contribution, we </w:t>
      </w:r>
      <w:r w:rsidR="008244C1" w:rsidRPr="00783F93">
        <w:rPr>
          <w:lang w:eastAsia="ja-JP"/>
        </w:rPr>
        <w:t xml:space="preserve">present our views on </w:t>
      </w:r>
      <w:r w:rsidR="00CB6B0A" w:rsidRPr="00783F93">
        <w:rPr>
          <w:lang w:eastAsia="ja-JP"/>
        </w:rPr>
        <w:t>HST applicability rule</w:t>
      </w:r>
      <w:r w:rsidR="00CE03D4">
        <w:rPr>
          <w:lang w:eastAsia="ja-JP"/>
        </w:rPr>
        <w:t>s</w:t>
      </w:r>
      <w:r w:rsidRPr="00783F93">
        <w:rPr>
          <w:lang w:eastAsia="ja-JP"/>
        </w:rPr>
        <w:t>. Our proposals and observations are summarized below.</w:t>
      </w:r>
    </w:p>
    <w:p w14:paraId="314E9E61" w14:textId="77777777" w:rsidR="00F23475" w:rsidRPr="00783F93" w:rsidRDefault="00F23475" w:rsidP="00F23475">
      <w:pPr>
        <w:jc w:val="both"/>
      </w:pPr>
      <w:r w:rsidRPr="00783F93">
        <w:rPr>
          <w:b/>
          <w:bCs/>
        </w:rPr>
        <w:t>Observation 1: The motivation of each HST scenarios, i.e. HST-SFN, Single-tap and multi-path fading is different.</w:t>
      </w:r>
    </w:p>
    <w:p w14:paraId="453D9528" w14:textId="5CBB8F07" w:rsidR="00F23475" w:rsidRPr="00783F93" w:rsidRDefault="00F23475" w:rsidP="00F23475">
      <w:pPr>
        <w:jc w:val="both"/>
      </w:pPr>
      <w:r w:rsidRPr="00783F93">
        <w:rPr>
          <w:b/>
          <w:bCs/>
        </w:rPr>
        <w:t>Proposal 1: Do not define any applicability rule between Rel-16 NR HST-SFN and Rel.15 NR HST single-tap</w:t>
      </w:r>
      <w:r w:rsidR="003427A4">
        <w:rPr>
          <w:b/>
          <w:bCs/>
        </w:rPr>
        <w:t>.</w:t>
      </w:r>
    </w:p>
    <w:p w14:paraId="668FFE2A" w14:textId="226AE2D3" w:rsidR="00F23475" w:rsidRPr="00783F93" w:rsidRDefault="00F23475" w:rsidP="00F23475">
      <w:pPr>
        <w:jc w:val="both"/>
      </w:pPr>
      <w:r w:rsidRPr="00783F93">
        <w:rPr>
          <w:b/>
          <w:bCs/>
        </w:rPr>
        <w:t>Proposal 2: Do not define any applicability rule between Rel-16 NR HST-SFN and Rel-15/16 NR multi-path fading</w:t>
      </w:r>
      <w:r w:rsidR="003427A4">
        <w:rPr>
          <w:b/>
          <w:bCs/>
        </w:rPr>
        <w:t>.</w:t>
      </w:r>
    </w:p>
    <w:p w14:paraId="459647D5" w14:textId="60D63331" w:rsidR="00F23475" w:rsidRDefault="00F23475" w:rsidP="00F23475">
      <w:pPr>
        <w:jc w:val="both"/>
        <w:rPr>
          <w:b/>
          <w:bCs/>
        </w:rPr>
      </w:pPr>
      <w:r w:rsidRPr="00783F93">
        <w:rPr>
          <w:b/>
          <w:bCs/>
        </w:rPr>
        <w:t xml:space="preserve">Proposal 3: </w:t>
      </w:r>
      <w:r w:rsidR="003427A4">
        <w:rPr>
          <w:b/>
          <w:bCs/>
        </w:rPr>
        <w:t>RAN4 should discuss</w:t>
      </w:r>
      <w:r w:rsidRPr="00783F93">
        <w:rPr>
          <w:b/>
          <w:bCs/>
        </w:rPr>
        <w:t xml:space="preserve"> whether to introduce the applicability rule between Rel-16 NR HST-SFN and Rel.16 NR Single-tap</w:t>
      </w:r>
      <w:r w:rsidR="003427A4">
        <w:rPr>
          <w:b/>
          <w:bCs/>
        </w:rPr>
        <w:t>.</w:t>
      </w:r>
    </w:p>
    <w:p w14:paraId="5DA40031" w14:textId="42266F66" w:rsidR="00F23475" w:rsidRPr="00783F93" w:rsidRDefault="00F23475" w:rsidP="00F23475">
      <w:pPr>
        <w:jc w:val="both"/>
      </w:pPr>
      <w:r w:rsidRPr="00783F93">
        <w:rPr>
          <w:b/>
          <w:bCs/>
        </w:rPr>
        <w:t>Proposal 4: Assume following Option 1a for FDD as long as following Option 2 is supported for TDD</w:t>
      </w:r>
      <w:r w:rsidR="003427A4">
        <w:rPr>
          <w:b/>
          <w:bCs/>
        </w:rPr>
        <w:t>.</w:t>
      </w:r>
    </w:p>
    <w:p w14:paraId="77A84F62" w14:textId="77777777" w:rsidR="00F23475" w:rsidRDefault="00F23475" w:rsidP="00F23475">
      <w:pPr>
        <w:jc w:val="both"/>
      </w:pPr>
      <w:r w:rsidRPr="00783F93">
        <w:rPr>
          <w:b/>
          <w:bCs/>
        </w:rPr>
        <w:t>For FDD:</w:t>
      </w:r>
    </w:p>
    <w:p w14:paraId="0EFA5EE9" w14:textId="578C6CAD" w:rsidR="00F23475" w:rsidRPr="00783F93" w:rsidRDefault="00F23475" w:rsidP="00F23475">
      <w:pPr>
        <w:pStyle w:val="afb"/>
        <w:numPr>
          <w:ilvl w:val="0"/>
          <w:numId w:val="27"/>
        </w:numPr>
        <w:jc w:val="both"/>
      </w:pPr>
      <w:r w:rsidRPr="00783F93">
        <w:rPr>
          <w:b/>
          <w:bCs/>
        </w:rPr>
        <w:t>Option 1a: Rel-15 multi-path fading with TDLB100-400 (Table 5.2.2.1.1-3 Test 1-1 and Table 5.2.3.1.1-3 Test 1-1) is not applicable for UE that passes Rel-16 multi-path fading tests TDLC300-600 for FDD</w:t>
      </w:r>
      <w:r w:rsidR="003427A4">
        <w:rPr>
          <w:b/>
          <w:bCs/>
        </w:rPr>
        <w:t>.</w:t>
      </w:r>
    </w:p>
    <w:p w14:paraId="3617D14F" w14:textId="77777777" w:rsidR="00F23475" w:rsidRDefault="00F23475" w:rsidP="00F23475">
      <w:pPr>
        <w:jc w:val="both"/>
      </w:pPr>
      <w:r w:rsidRPr="00783F93">
        <w:rPr>
          <w:b/>
          <w:bCs/>
        </w:rPr>
        <w:t>For TDD:</w:t>
      </w:r>
    </w:p>
    <w:p w14:paraId="1AC39E7E" w14:textId="4AC5942C" w:rsidR="00F23475" w:rsidRPr="00F23475" w:rsidRDefault="00F23475" w:rsidP="00E37F87">
      <w:pPr>
        <w:pStyle w:val="afb"/>
        <w:numPr>
          <w:ilvl w:val="0"/>
          <w:numId w:val="27"/>
        </w:numPr>
        <w:jc w:val="both"/>
        <w:rPr>
          <w:lang w:eastAsia="ja-JP"/>
        </w:rPr>
      </w:pPr>
      <w:r w:rsidRPr="00E37F87">
        <w:rPr>
          <w:b/>
          <w:bCs/>
        </w:rPr>
        <w:t>Option 2: Not define any applicability rule for TDD multi-path fading tests between Rel-15 and Rel-16.</w:t>
      </w:r>
    </w:p>
    <w:p w14:paraId="2BA5B1AC" w14:textId="18D238F9" w:rsidR="009D1BE4" w:rsidRPr="00783F93" w:rsidRDefault="009D1BE4" w:rsidP="009D1BE4">
      <w:pPr>
        <w:pStyle w:val="1"/>
        <w:rPr>
          <w:rFonts w:ascii="Times New Roman" w:hAnsi="Times New Roman"/>
          <w:lang w:eastAsia="ja-JP"/>
        </w:rPr>
      </w:pPr>
      <w:r w:rsidRPr="00783F93">
        <w:rPr>
          <w:rFonts w:ascii="Times New Roman" w:hAnsi="Times New Roman"/>
          <w:lang w:eastAsia="ja-JP"/>
        </w:rPr>
        <w:t>References</w:t>
      </w:r>
    </w:p>
    <w:bookmarkEnd w:id="0"/>
    <w:p w14:paraId="2A16B207" w14:textId="40AFB76A" w:rsidR="00EC1E03" w:rsidRDefault="00CB6B0A" w:rsidP="006866BB">
      <w:pPr>
        <w:pStyle w:val="afb"/>
        <w:numPr>
          <w:ilvl w:val="0"/>
          <w:numId w:val="3"/>
        </w:numPr>
        <w:rPr>
          <w:lang w:eastAsia="ja-JP"/>
        </w:rPr>
      </w:pPr>
      <w:r w:rsidRPr="00783F93">
        <w:rPr>
          <w:lang w:eastAsia="ja-JP"/>
        </w:rPr>
        <w:t>R4-2008820, CMCC, WF on UE demodulation for NR HST, RAN4 #95e</w:t>
      </w:r>
    </w:p>
    <w:p w14:paraId="301C4057" w14:textId="2C09D976" w:rsidR="00F23475" w:rsidRPr="00783F93" w:rsidRDefault="00F23475" w:rsidP="006866BB">
      <w:pPr>
        <w:pStyle w:val="afb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>T</w:t>
      </w:r>
      <w:r w:rsidR="003427A4">
        <w:rPr>
          <w:lang w:eastAsia="ja-JP"/>
        </w:rPr>
        <w:t xml:space="preserve">S </w:t>
      </w:r>
      <w:r>
        <w:rPr>
          <w:lang w:eastAsia="ja-JP"/>
        </w:rPr>
        <w:t>38.101-4</w:t>
      </w:r>
    </w:p>
    <w:sectPr w:rsidR="00F23475" w:rsidRPr="00783F93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0AE34" w14:textId="77777777" w:rsidR="00973844" w:rsidRDefault="00973844">
      <w:r>
        <w:separator/>
      </w:r>
    </w:p>
  </w:endnote>
  <w:endnote w:type="continuationSeparator" w:id="0">
    <w:p w14:paraId="6BEAFB10" w14:textId="77777777" w:rsidR="00973844" w:rsidRDefault="00973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0FC1D" w14:textId="77777777" w:rsidR="00973844" w:rsidRDefault="00973844">
      <w:r>
        <w:separator/>
      </w:r>
    </w:p>
  </w:footnote>
  <w:footnote w:type="continuationSeparator" w:id="0">
    <w:p w14:paraId="26084F5B" w14:textId="77777777" w:rsidR="00973844" w:rsidRDefault="00973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41047EC6"/>
    <w:multiLevelType w:val="hybridMultilevel"/>
    <w:tmpl w:val="89FC0E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2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3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24"/>
  </w:num>
  <w:num w:numId="3">
    <w:abstractNumId w:val="2"/>
  </w:num>
  <w:num w:numId="4">
    <w:abstractNumId w:val="6"/>
  </w:num>
  <w:num w:numId="5">
    <w:abstractNumId w:val="7"/>
  </w:num>
  <w:num w:numId="6">
    <w:abstractNumId w:val="21"/>
  </w:num>
  <w:num w:numId="7">
    <w:abstractNumId w:val="1"/>
  </w:num>
  <w:num w:numId="8">
    <w:abstractNumId w:val="3"/>
  </w:num>
  <w:num w:numId="9">
    <w:abstractNumId w:val="0"/>
  </w:num>
  <w:num w:numId="10">
    <w:abstractNumId w:val="17"/>
  </w:num>
  <w:num w:numId="11">
    <w:abstractNumId w:val="22"/>
  </w:num>
  <w:num w:numId="12">
    <w:abstractNumId w:val="11"/>
  </w:num>
  <w:num w:numId="13">
    <w:abstractNumId w:val="15"/>
  </w:num>
  <w:num w:numId="14">
    <w:abstractNumId w:val="14"/>
  </w:num>
  <w:num w:numId="15">
    <w:abstractNumId w:val="20"/>
  </w:num>
  <w:num w:numId="16">
    <w:abstractNumId w:val="26"/>
  </w:num>
  <w:num w:numId="17">
    <w:abstractNumId w:val="18"/>
  </w:num>
  <w:num w:numId="18">
    <w:abstractNumId w:val="19"/>
  </w:num>
  <w:num w:numId="19">
    <w:abstractNumId w:val="23"/>
  </w:num>
  <w:num w:numId="20">
    <w:abstractNumId w:val="10"/>
  </w:num>
  <w:num w:numId="21">
    <w:abstractNumId w:val="12"/>
  </w:num>
  <w:num w:numId="22">
    <w:abstractNumId w:val="13"/>
  </w:num>
  <w:num w:numId="23">
    <w:abstractNumId w:val="4"/>
  </w:num>
  <w:num w:numId="24">
    <w:abstractNumId w:val="25"/>
  </w:num>
  <w:num w:numId="25">
    <w:abstractNumId w:val="16"/>
  </w:num>
  <w:num w:numId="26">
    <w:abstractNumId w:val="8"/>
  </w:num>
  <w:num w:numId="2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0121"/>
    <w:rsid w:val="00153528"/>
    <w:rsid w:val="001538E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4973"/>
    <w:rsid w:val="001C5AB7"/>
    <w:rsid w:val="001C602C"/>
    <w:rsid w:val="001C67F1"/>
    <w:rsid w:val="001C7645"/>
    <w:rsid w:val="001C7C92"/>
    <w:rsid w:val="001D2640"/>
    <w:rsid w:val="001D39E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6B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3C6"/>
    <w:rsid w:val="003253ED"/>
    <w:rsid w:val="00331476"/>
    <w:rsid w:val="00334170"/>
    <w:rsid w:val="00341E05"/>
    <w:rsid w:val="00341EE1"/>
    <w:rsid w:val="003427A4"/>
    <w:rsid w:val="003449E6"/>
    <w:rsid w:val="003466ED"/>
    <w:rsid w:val="003543FA"/>
    <w:rsid w:val="00356B37"/>
    <w:rsid w:val="00361187"/>
    <w:rsid w:val="00361491"/>
    <w:rsid w:val="00363F69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12791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67A"/>
    <w:rsid w:val="00441C2A"/>
    <w:rsid w:val="004426D5"/>
    <w:rsid w:val="004430CF"/>
    <w:rsid w:val="00443CC6"/>
    <w:rsid w:val="00444225"/>
    <w:rsid w:val="00444D6C"/>
    <w:rsid w:val="00450EF8"/>
    <w:rsid w:val="00453A79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C42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4B4"/>
    <w:rsid w:val="004D7E24"/>
    <w:rsid w:val="004E1E27"/>
    <w:rsid w:val="004E2E83"/>
    <w:rsid w:val="004E73B0"/>
    <w:rsid w:val="004E7764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6BB"/>
    <w:rsid w:val="00686ABB"/>
    <w:rsid w:val="00686FBC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985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3F93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154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44C1"/>
    <w:rsid w:val="0082583A"/>
    <w:rsid w:val="00826532"/>
    <w:rsid w:val="0083389F"/>
    <w:rsid w:val="00835C3C"/>
    <w:rsid w:val="00836B3B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97473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3844"/>
    <w:rsid w:val="009762A8"/>
    <w:rsid w:val="009776DE"/>
    <w:rsid w:val="0098134C"/>
    <w:rsid w:val="009819AE"/>
    <w:rsid w:val="009829B0"/>
    <w:rsid w:val="00983910"/>
    <w:rsid w:val="00983A27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E784C"/>
    <w:rsid w:val="009F5BE4"/>
    <w:rsid w:val="009F5EAC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45C3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6B0A"/>
    <w:rsid w:val="00CB77C1"/>
    <w:rsid w:val="00CC26C6"/>
    <w:rsid w:val="00CC5EE3"/>
    <w:rsid w:val="00CD03C9"/>
    <w:rsid w:val="00CD2A32"/>
    <w:rsid w:val="00CD4DC8"/>
    <w:rsid w:val="00CD6473"/>
    <w:rsid w:val="00CD7A0B"/>
    <w:rsid w:val="00CE03D4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37F87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E6C3F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17202"/>
    <w:rsid w:val="00F207BB"/>
    <w:rsid w:val="00F20B94"/>
    <w:rsid w:val="00F21AA3"/>
    <w:rsid w:val="00F21B36"/>
    <w:rsid w:val="00F21FA0"/>
    <w:rsid w:val="00F22AF9"/>
    <w:rsid w:val="00F23475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951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4932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60</cp:revision>
  <cp:lastPrinted>2017-04-28T05:57:00Z</cp:lastPrinted>
  <dcterms:created xsi:type="dcterms:W3CDTF">2019-08-15T06:38:00Z</dcterms:created>
  <dcterms:modified xsi:type="dcterms:W3CDTF">2020-08-07T14:35:00Z</dcterms:modified>
</cp:coreProperties>
</file>